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C8EA" w14:textId="77777777" w:rsidR="00B24F26" w:rsidRPr="00B24F26" w:rsidRDefault="00B24F26" w:rsidP="00B24F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24F26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Regionale afspraken terugverwijzing door 2</w:t>
      </w:r>
      <w:r w:rsidRPr="00B24F26">
        <w:rPr>
          <w:rFonts w:ascii="Calibri" w:eastAsia="Times New Roman" w:hAnsi="Calibri" w:cs="Calibri"/>
          <w:b/>
          <w:bCs/>
          <w:position w:val="8"/>
          <w:sz w:val="14"/>
          <w:szCs w:val="14"/>
          <w:lang w:eastAsia="nl-NL"/>
        </w:rPr>
        <w:t xml:space="preserve">de </w:t>
      </w:r>
      <w:r w:rsidRPr="00B24F26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lijn naar 1</w:t>
      </w:r>
      <w:r w:rsidRPr="00B24F26">
        <w:rPr>
          <w:rFonts w:ascii="Calibri" w:eastAsia="Times New Roman" w:hAnsi="Calibri" w:cs="Calibri"/>
          <w:b/>
          <w:bCs/>
          <w:position w:val="8"/>
          <w:sz w:val="14"/>
          <w:szCs w:val="14"/>
          <w:lang w:eastAsia="nl-NL"/>
        </w:rPr>
        <w:t xml:space="preserve">ste </w:t>
      </w:r>
      <w:r w:rsidRPr="00B24F26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lijn van patiënten die PCSK9 remmers gebruiken. </w:t>
      </w:r>
    </w:p>
    <w:p w14:paraId="70AE8B5A" w14:textId="77777777" w:rsidR="00B24F26" w:rsidRPr="00B24F26" w:rsidRDefault="00B24F26" w:rsidP="00B24F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24F26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Achtergrond </w:t>
      </w:r>
    </w:p>
    <w:p w14:paraId="7324ED6F" w14:textId="50D67F73" w:rsidR="00B24F26" w:rsidRPr="00B24F26" w:rsidRDefault="00B24F26" w:rsidP="00B24F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Het gebruik van PCSK9-remmers is in de meest recente CVRM-standaard besproken en kan onderdeel zijn van preventie bij geselecteerde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patiëntengroepen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. Het is aan de specialist (internist, cardioloog, neuroloog, kinderarts) om behandeling met PCKS9 remmers te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initiëren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. </w:t>
      </w:r>
    </w:p>
    <w:p w14:paraId="6AB5B156" w14:textId="4201EED3" w:rsidR="00B24F26" w:rsidRPr="00B24F26" w:rsidRDefault="00B24F26" w:rsidP="00B24F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Patiënten die PCSK9 remmers gebruiken, blijven nu vaak onder controle in de </w:t>
      </w:r>
      <w:r>
        <w:rPr>
          <w:rFonts w:ascii="Calibri" w:eastAsia="Times New Roman" w:hAnsi="Calibri" w:cs="Calibri"/>
          <w:sz w:val="22"/>
          <w:szCs w:val="22"/>
          <w:lang w:eastAsia="nl-NL"/>
        </w:rPr>
        <w:t>2</w:t>
      </w:r>
      <w:r w:rsidRPr="00B24F26">
        <w:rPr>
          <w:rFonts w:ascii="Calibri" w:eastAsia="Times New Roman" w:hAnsi="Calibri" w:cs="Calibri"/>
          <w:sz w:val="22"/>
          <w:szCs w:val="22"/>
          <w:vertAlign w:val="superscript"/>
          <w:lang w:eastAsia="nl-NL"/>
        </w:rPr>
        <w:t>de</w:t>
      </w:r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lijn. Vakinhoudelijk is er voor de stabiel en goed ingestelde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patiënten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 echter geen reden voor deze aanhoudende controle. </w:t>
      </w:r>
    </w:p>
    <w:p w14:paraId="57610D60" w14:textId="616CD9CB" w:rsidR="00B24F26" w:rsidRPr="00B24F26" w:rsidRDefault="00B24F26" w:rsidP="00B24F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HONK en specialisten van </w:t>
      </w:r>
      <w:r w:rsidR="002C4870">
        <w:rPr>
          <w:rFonts w:ascii="Calibri" w:eastAsia="Times New Roman" w:hAnsi="Calibri" w:cs="Calibri"/>
          <w:sz w:val="22"/>
          <w:szCs w:val="22"/>
          <w:lang w:eastAsia="nl-NL"/>
        </w:rPr>
        <w:t>het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 Noordwest zijn, in overleg met kaderhuisartsen en Apcon, gekomen tot regionale afspraken over veilig terugverwijzen van patiënten die PCSK9- remmers gebruiken. </w:t>
      </w:r>
    </w:p>
    <w:p w14:paraId="414B139C" w14:textId="77777777" w:rsidR="00B24F26" w:rsidRPr="00B24F26" w:rsidRDefault="00B24F26" w:rsidP="00B24F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Terugverwijzing van goed ingestelde patiënten zal resulteren in minder 2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de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lijns zorggebruik (Zinnige Zorg). Uiteraard mag de kwaliteit van zorg hierbij niet worden geschaad. </w:t>
      </w:r>
    </w:p>
    <w:p w14:paraId="783C2B8C" w14:textId="77777777" w:rsidR="00B24F26" w:rsidRPr="00B24F26" w:rsidRDefault="00B24F26" w:rsidP="00B24F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24F26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Afspraken </w:t>
      </w:r>
    </w:p>
    <w:p w14:paraId="375F9EEF" w14:textId="77777777" w:rsidR="00B24F26" w:rsidRPr="00B24F26" w:rsidRDefault="00B24F26" w:rsidP="00B24F2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Patiënten bij wie geen andere indicatie aanwezig is om vervolgd te worden in de 2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de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lijn dan het gebruik van PCSK9 remmers, worden terugverwezen naar de 1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ste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lijn onder schriftelijke vermelding van “regionale afspraken terugverwijzing eerste lijn van patiënten met PCSK9 remmers”. </w:t>
      </w:r>
    </w:p>
    <w:p w14:paraId="6A610113" w14:textId="77777777" w:rsidR="00B24F26" w:rsidRPr="00B24F26" w:rsidRDefault="00B24F26" w:rsidP="00B24F2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Indien de patiënt voldoet aan de inclusierichtlijn dan wordt deze aangemeld in de CVRM keten. Indien niet dan wordt deze waar nodig via reguliere consulten begeleid door de huisarts/ POH. </w:t>
      </w:r>
    </w:p>
    <w:p w14:paraId="26733655" w14:textId="77777777" w:rsidR="00B24F26" w:rsidRPr="00B24F26" w:rsidRDefault="00B24F26" w:rsidP="00B24F2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Herhalingsprescriptie vindt plaats in de 1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ste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lijn. </w:t>
      </w:r>
    </w:p>
    <w:p w14:paraId="453434BF" w14:textId="5ECCBE29" w:rsidR="00B24F26" w:rsidRPr="00B24F26" w:rsidRDefault="00B24F26" w:rsidP="00CF1F2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Een voorschrift voor een PCSK9 remmer wordt niet gestaakt zonder dat met de oorspronkelijke voorschrijver in de 2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de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lijn wordt overlegd. </w:t>
      </w:r>
    </w:p>
    <w:p w14:paraId="4BEADDD9" w14:textId="07C27EBB" w:rsidR="00B24F26" w:rsidRPr="00B24F26" w:rsidRDefault="00B24F26" w:rsidP="00F373A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Indien na drie jaar de </w:t>
      </w:r>
      <w:r w:rsidRPr="00B24F26">
        <w:rPr>
          <w:rFonts w:ascii="Calibri" w:eastAsia="Times New Roman" w:hAnsi="Calibri" w:cs="Calibri"/>
          <w:i/>
          <w:iCs/>
          <w:sz w:val="22"/>
          <w:szCs w:val="22"/>
          <w:lang w:eastAsia="nl-NL"/>
        </w:rPr>
        <w:t xml:space="preserve">Artsenverklaring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moet worden verlengd doet de apotheker per e-mail een verzoek aan </w:t>
      </w:r>
      <w:r w:rsidRPr="00B24F26">
        <w:rPr>
          <w:rFonts w:ascii="Calibri" w:eastAsia="Times New Roman" w:hAnsi="Calibri" w:cs="Calibri"/>
          <w:color w:val="0260BF"/>
          <w:sz w:val="22"/>
          <w:szCs w:val="22"/>
          <w:lang w:eastAsia="nl-NL"/>
        </w:rPr>
        <w:t>E.T.Betjes@nwz.nl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. </w:t>
      </w:r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Er zal dan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zo snel als mogelijk per </w:t>
      </w:r>
      <w:r>
        <w:rPr>
          <w:rFonts w:ascii="Calibri" w:eastAsia="Times New Roman" w:hAnsi="Calibri" w:cs="Calibri"/>
          <w:sz w:val="22"/>
          <w:szCs w:val="22"/>
          <w:lang w:eastAsia="nl-NL"/>
        </w:rPr>
        <w:t>e-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mail een nieuwe artsenverklaring retourneren naar de apotheek. De huisarts ontvangt in zijn HIS een melding van de herhaalreceptuur. </w:t>
      </w:r>
    </w:p>
    <w:p w14:paraId="0C4DA8E0" w14:textId="77777777" w:rsidR="00B24F26" w:rsidRPr="00B24F26" w:rsidRDefault="00B24F26" w:rsidP="00B24F2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Bij problemen, vragen of twijfel over nut, noodzaak, bijwerkingen etc. vindt overleg plaats met de 2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de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lijn, of terugverwijzing naar de 2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de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lijn. </w:t>
      </w:r>
    </w:p>
    <w:p w14:paraId="1A544117" w14:textId="77777777" w:rsidR="00B24F26" w:rsidRPr="00B24F26" w:rsidRDefault="00B24F26" w:rsidP="00B24F2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Om de uitwerking van dit beleid te evalueren zullen alle naar de 1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ste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lijn terugverwezen patiënten worden geregistreerd in de 2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de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lijn. Een jaar na aanvang van bovengenoemd beleid wordt onderzocht of prescriptie is gecontinueerd. Daarnaast zullen ervaringen in 1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ste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en 2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de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lijn worden verzameld. Hiervan vindt terugkoppeling en evaluatie plaats in regulier transmuraal HONK – Noordwest overleg. HONK evalueert de verlenging en verstrekking met de Apcon. </w:t>
      </w:r>
    </w:p>
    <w:p w14:paraId="3BB2E595" w14:textId="77777777" w:rsidR="00B24F26" w:rsidRDefault="00B24F26"/>
    <w:sectPr w:rsidR="00B24F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B78E" w14:textId="77777777" w:rsidR="00B24F26" w:rsidRDefault="00B24F26" w:rsidP="00B24F26">
      <w:r>
        <w:separator/>
      </w:r>
    </w:p>
  </w:endnote>
  <w:endnote w:type="continuationSeparator" w:id="0">
    <w:p w14:paraId="41543B7B" w14:textId="77777777" w:rsidR="00B24F26" w:rsidRDefault="00B24F26" w:rsidP="00B2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7827" w14:textId="77777777" w:rsidR="00B24F26" w:rsidRPr="00B24F26" w:rsidRDefault="00B24F26" w:rsidP="00B24F26">
    <w:pPr>
      <w:spacing w:before="100" w:beforeAutospacing="1" w:after="100" w:afterAutospacing="1"/>
      <w:rPr>
        <w:rFonts w:ascii="Times New Roman" w:eastAsia="Times New Roman" w:hAnsi="Times New Roman" w:cs="Times New Roman"/>
        <w:sz w:val="18"/>
        <w:szCs w:val="18"/>
        <w:lang w:eastAsia="nl-NL"/>
      </w:rPr>
    </w:pPr>
    <w:r w:rsidRPr="00B24F26">
      <w:rPr>
        <w:rFonts w:ascii="Calibri" w:eastAsia="Times New Roman" w:hAnsi="Calibri" w:cs="Calibri"/>
        <w:sz w:val="18"/>
        <w:szCs w:val="18"/>
        <w:lang w:eastAsia="nl-NL"/>
      </w:rPr>
      <w:t xml:space="preserve">Regionale afspraak PCSK9 remmers April 2021 Noordwest/HONK/Apcon </w:t>
    </w:r>
  </w:p>
  <w:p w14:paraId="19E77A53" w14:textId="77777777" w:rsidR="00B24F26" w:rsidRDefault="00B24F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1DB5" w14:textId="77777777" w:rsidR="00B24F26" w:rsidRDefault="00B24F26" w:rsidP="00B24F26">
      <w:r>
        <w:separator/>
      </w:r>
    </w:p>
  </w:footnote>
  <w:footnote w:type="continuationSeparator" w:id="0">
    <w:p w14:paraId="51126264" w14:textId="77777777" w:rsidR="00B24F26" w:rsidRDefault="00B24F26" w:rsidP="00B2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0A4"/>
    <w:multiLevelType w:val="multilevel"/>
    <w:tmpl w:val="9CCA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38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26"/>
    <w:rsid w:val="002C4870"/>
    <w:rsid w:val="00B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EA44B"/>
  <w15:chartTrackingRefBased/>
  <w15:docId w15:val="{67F0D34E-F906-9A4B-8029-51E9F82B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24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24F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4F26"/>
  </w:style>
  <w:style w:type="paragraph" w:styleId="Voettekst">
    <w:name w:val="footer"/>
    <w:basedOn w:val="Standaard"/>
    <w:link w:val="VoettekstChar"/>
    <w:uiPriority w:val="99"/>
    <w:unhideWhenUsed/>
    <w:rsid w:val="00B24F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B1C3627365B46B90559CD9D859255" ma:contentTypeVersion="13" ma:contentTypeDescription="Een nieuw document maken." ma:contentTypeScope="" ma:versionID="5403330e573c4545a214dbc9ffa38001">
  <xsd:schema xmlns:xsd="http://www.w3.org/2001/XMLSchema" xmlns:xs="http://www.w3.org/2001/XMLSchema" xmlns:p="http://schemas.microsoft.com/office/2006/metadata/properties" xmlns:ns2="96ece961-4176-4181-8f04-53a9df419c8a" xmlns:ns3="1ec95e18-3305-4fc6-b8f6-d163437e1803" targetNamespace="http://schemas.microsoft.com/office/2006/metadata/properties" ma:root="true" ma:fieldsID="d3737474807470f1d4d0951ef455d678" ns2:_="" ns3:_="">
    <xsd:import namespace="96ece961-4176-4181-8f04-53a9df419c8a"/>
    <xsd:import namespace="1ec95e18-3305-4fc6-b8f6-d163437e1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e961-4176-4181-8f04-53a9df419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807a1a25-601e-4b3c-a374-5a411da0c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95e18-3305-4fc6-b8f6-d163437e1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702c6bb-a4ac-4853-b0f6-5d3f91494f2e}" ma:internalName="TaxCatchAll" ma:showField="CatchAllData" ma:web="1ec95e18-3305-4fc6-b8f6-d163437e1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ece961-4176-4181-8f04-53a9df419c8a">
      <Terms xmlns="http://schemas.microsoft.com/office/infopath/2007/PartnerControls"/>
    </lcf76f155ced4ddcb4097134ff3c332f>
    <TaxCatchAll xmlns="1ec95e18-3305-4fc6-b8f6-d163437e1803" xsi:nil="true"/>
  </documentManagement>
</p:properties>
</file>

<file path=customXml/itemProps1.xml><?xml version="1.0" encoding="utf-8"?>
<ds:datastoreItem xmlns:ds="http://schemas.openxmlformats.org/officeDocument/2006/customXml" ds:itemID="{E644A74C-CB3C-4B83-B836-2FB4F618A48D}"/>
</file>

<file path=customXml/itemProps2.xml><?xml version="1.0" encoding="utf-8"?>
<ds:datastoreItem xmlns:ds="http://schemas.openxmlformats.org/officeDocument/2006/customXml" ds:itemID="{59BE01CE-AD1D-40D6-A764-F15C113B98B0}"/>
</file>

<file path=customXml/itemProps3.xml><?xml version="1.0" encoding="utf-8"?>
<ds:datastoreItem xmlns:ds="http://schemas.openxmlformats.org/officeDocument/2006/customXml" ds:itemID="{9714D085-8585-47A8-B73A-E75FD4B559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de Jong</dc:creator>
  <cp:keywords/>
  <dc:description/>
  <cp:lastModifiedBy>Doreen de Jong</cp:lastModifiedBy>
  <cp:revision>1</cp:revision>
  <dcterms:created xsi:type="dcterms:W3CDTF">2022-05-19T11:35:00Z</dcterms:created>
  <dcterms:modified xsi:type="dcterms:W3CDTF">2022-05-19T13:37:00Z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0x010100244B1C3627365B46B90559CD9D859255</vt:lpwstr>
  </property>
</Properties>
</file>