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C184" w14:textId="77777777" w:rsidR="00B55ABF" w:rsidRDefault="00B55ABF" w:rsidP="00B24F26">
      <w:pPr>
        <w:spacing w:before="100" w:beforeAutospacing="1" w:after="100" w:afterAutospacing="1"/>
      </w:pPr>
    </w:p>
    <w:p w14:paraId="513EC8EA" w14:textId="3CAA7762" w:rsidR="00B24F26" w:rsidRPr="00B24F26" w:rsidRDefault="00B24F26" w:rsidP="00B24F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24F26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Regionale afspraken </w:t>
      </w:r>
      <w:proofErr w:type="spellStart"/>
      <w:r w:rsidRPr="00B24F26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terugverwijzing</w:t>
      </w:r>
      <w:proofErr w:type="spellEnd"/>
      <w:r w:rsidRPr="00B24F26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door 2</w:t>
      </w:r>
      <w:r w:rsidRPr="00B24F26">
        <w:rPr>
          <w:rFonts w:ascii="Calibri" w:eastAsia="Times New Roman" w:hAnsi="Calibri" w:cs="Calibri"/>
          <w:b/>
          <w:bCs/>
          <w:position w:val="8"/>
          <w:sz w:val="14"/>
          <w:szCs w:val="14"/>
          <w:lang w:eastAsia="nl-NL"/>
        </w:rPr>
        <w:t xml:space="preserve">de </w:t>
      </w:r>
      <w:r w:rsidRPr="00B24F26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lijn naar 1</w:t>
      </w:r>
      <w:r w:rsidRPr="00B24F26">
        <w:rPr>
          <w:rFonts w:ascii="Calibri" w:eastAsia="Times New Roman" w:hAnsi="Calibri" w:cs="Calibri"/>
          <w:b/>
          <w:bCs/>
          <w:position w:val="8"/>
          <w:sz w:val="14"/>
          <w:szCs w:val="14"/>
          <w:lang w:eastAsia="nl-NL"/>
        </w:rPr>
        <w:t xml:space="preserve">ste </w:t>
      </w:r>
      <w:r w:rsidRPr="00B24F26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lijn van patiënten die PCSK9 remmers gebruiken. </w:t>
      </w:r>
    </w:p>
    <w:p w14:paraId="70AE8B5A" w14:textId="77777777" w:rsidR="00B24F26" w:rsidRPr="00B24F26" w:rsidRDefault="00B24F26" w:rsidP="00B24F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24F26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Achtergrond </w:t>
      </w:r>
    </w:p>
    <w:p w14:paraId="7324ED6F" w14:textId="50D67F73" w:rsidR="00B24F26" w:rsidRPr="00B24F26" w:rsidRDefault="00B24F26" w:rsidP="00B24F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Het gebruik van PCSK9-remmers is in de meest recente CVRM-standaard besproken en kan onderdeel zijn van preventie bij geselecteerde patiëntengroepen. Het is aan de specialist (internist, cardioloog, neuroloog, kinderarts) om behandeling met PCKS9 remmers te initiëren. </w:t>
      </w:r>
    </w:p>
    <w:p w14:paraId="6AB5B156" w14:textId="4201EED3" w:rsidR="00B24F26" w:rsidRPr="00B24F26" w:rsidRDefault="00B24F26" w:rsidP="00B24F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Patiënten die PCSK9 remmers gebruiken, blijven nu vaak onder controle in de </w:t>
      </w:r>
      <w:r>
        <w:rPr>
          <w:rFonts w:ascii="Calibri" w:eastAsia="Times New Roman" w:hAnsi="Calibri" w:cs="Calibri"/>
          <w:sz w:val="22"/>
          <w:szCs w:val="22"/>
          <w:lang w:eastAsia="nl-NL"/>
        </w:rPr>
        <w:t>2</w:t>
      </w:r>
      <w:r w:rsidRPr="00B24F26">
        <w:rPr>
          <w:rFonts w:ascii="Calibri" w:eastAsia="Times New Roman" w:hAnsi="Calibri" w:cs="Calibri"/>
          <w:sz w:val="22"/>
          <w:szCs w:val="22"/>
          <w:vertAlign w:val="superscript"/>
          <w:lang w:eastAsia="nl-NL"/>
        </w:rPr>
        <w:t>de</w:t>
      </w:r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lijn. Vakinhoudelijk is er voor de stabiel en goed ingestelde patiënten echter geen reden voor deze aanhoudende controle. </w:t>
      </w:r>
    </w:p>
    <w:p w14:paraId="57610D60" w14:textId="159FDBE0" w:rsidR="00B24F26" w:rsidRPr="00B24F26" w:rsidRDefault="00B24F26" w:rsidP="00B24F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HONK</w:t>
      </w:r>
      <w:r w:rsidR="001A0B7A">
        <w:rPr>
          <w:rFonts w:ascii="Calibri" w:eastAsia="Times New Roman" w:hAnsi="Calibri" w:cs="Calibri"/>
          <w:sz w:val="22"/>
          <w:szCs w:val="22"/>
          <w:lang w:eastAsia="nl-NL"/>
        </w:rPr>
        <w:t xml:space="preserve">, </w:t>
      </w:r>
      <w:r w:rsidR="001A0B7A" w:rsidRPr="00D77AAC">
        <w:rPr>
          <w:rFonts w:ascii="Calibri" w:eastAsia="Times New Roman" w:hAnsi="Calibri" w:cs="Calibri"/>
          <w:sz w:val="22"/>
          <w:szCs w:val="22"/>
          <w:lang w:eastAsia="nl-NL"/>
        </w:rPr>
        <w:t>HKN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 en specialisten van </w:t>
      </w:r>
      <w:r w:rsidR="002C4870">
        <w:rPr>
          <w:rFonts w:ascii="Calibri" w:eastAsia="Times New Roman" w:hAnsi="Calibri" w:cs="Calibri"/>
          <w:sz w:val="22"/>
          <w:szCs w:val="22"/>
          <w:lang w:eastAsia="nl-NL"/>
        </w:rPr>
        <w:t>het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 Noordwest zijn, in overleg met kaderhuisartsen en Apcon, gekomen tot regionale afspraken over veilig terugverwijzen van patiënten die PCSK9- remmers gebruiken. </w:t>
      </w:r>
    </w:p>
    <w:p w14:paraId="414B139C" w14:textId="77777777" w:rsidR="00B24F26" w:rsidRPr="00B24F26" w:rsidRDefault="00B24F26" w:rsidP="00B24F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Terugverwijzing van goed ingestelde patiënten zal resulteren in minder 2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de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lijns zorggebruik (Zinnige Zorg). Uiteraard mag de kwaliteit van zorg hierbij niet worden geschaad. </w:t>
      </w:r>
    </w:p>
    <w:p w14:paraId="783C2B8C" w14:textId="77777777" w:rsidR="00B24F26" w:rsidRPr="00B24F26" w:rsidRDefault="00B24F26" w:rsidP="00B24F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B24F26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Afspraken </w:t>
      </w:r>
    </w:p>
    <w:p w14:paraId="375F9EEF" w14:textId="77777777" w:rsidR="00B24F26" w:rsidRPr="00B24F26" w:rsidRDefault="00B24F26" w:rsidP="00B24F2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Patiënten bij wie geen andere indicatie aanwezig is om vervolgd te worden in de 2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de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lijn dan het gebruik van PCSK9 remmers, worden terugverwezen naar de 1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ste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lijn onder schriftelijke vermelding van “regionale afspraken terugverwijzing eerste lijn van patiënten met PCSK9 remmers”. </w:t>
      </w:r>
    </w:p>
    <w:p w14:paraId="6A610113" w14:textId="77777777" w:rsidR="00B24F26" w:rsidRPr="00B24F26" w:rsidRDefault="00B24F26" w:rsidP="00B24F2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Indien de patiënt voldoet aan de inclusierichtlijn dan wordt deze aangemeld in de CVRM keten. Indien niet dan wordt deze waar nodig via reguliere consulten begeleid door de huisarts/ POH. </w:t>
      </w:r>
    </w:p>
    <w:p w14:paraId="26733655" w14:textId="77777777" w:rsidR="00B24F26" w:rsidRPr="00B24F26" w:rsidRDefault="00B24F26" w:rsidP="00B24F2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Herhalingsprescriptie vindt plaats in de 1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ste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lijn. </w:t>
      </w:r>
    </w:p>
    <w:p w14:paraId="453434BF" w14:textId="5ECCBE29" w:rsidR="00B24F26" w:rsidRPr="00B24F26" w:rsidRDefault="00B24F26" w:rsidP="00CF1F2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Een voorschrift voor een PCSK9 remmer wordt niet gestaakt zonder dat met de oorspronkelijke voorschrijver in de 2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de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lijn wordt overlegd. </w:t>
      </w:r>
    </w:p>
    <w:p w14:paraId="4BEADDD9" w14:textId="07C27EBB" w:rsidR="00B24F26" w:rsidRPr="00B24F26" w:rsidRDefault="00B24F26" w:rsidP="00F373A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Indien na drie jaar de </w:t>
      </w:r>
      <w:r w:rsidRPr="00B24F26">
        <w:rPr>
          <w:rFonts w:ascii="Calibri" w:eastAsia="Times New Roman" w:hAnsi="Calibri" w:cs="Calibri"/>
          <w:i/>
          <w:iCs/>
          <w:sz w:val="22"/>
          <w:szCs w:val="22"/>
          <w:lang w:eastAsia="nl-NL"/>
        </w:rPr>
        <w:t xml:space="preserve">Artsenverklaring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moet worden verlengd doet de apotheker per e-mail een verzoek aan </w:t>
      </w:r>
      <w:r w:rsidRPr="00B24F26">
        <w:rPr>
          <w:rFonts w:ascii="Calibri" w:eastAsia="Times New Roman" w:hAnsi="Calibri" w:cs="Calibri"/>
          <w:color w:val="0260BF"/>
          <w:sz w:val="22"/>
          <w:szCs w:val="22"/>
          <w:lang w:eastAsia="nl-NL"/>
        </w:rPr>
        <w:t>E.T.Betjes@nwz.nl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. </w:t>
      </w:r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Er zal dan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zo snel als mogelijk per </w:t>
      </w:r>
      <w:r>
        <w:rPr>
          <w:rFonts w:ascii="Calibri" w:eastAsia="Times New Roman" w:hAnsi="Calibri" w:cs="Calibri"/>
          <w:sz w:val="22"/>
          <w:szCs w:val="22"/>
          <w:lang w:eastAsia="nl-NL"/>
        </w:rPr>
        <w:t>e-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mail een nieuwe artsenverklaring retourneren naar de apotheek. De huisarts ontvangt in zijn HIS een melding van de herhaalreceptuur. </w:t>
      </w:r>
    </w:p>
    <w:p w14:paraId="0C4DA8E0" w14:textId="77777777" w:rsidR="00B24F26" w:rsidRPr="00B24F26" w:rsidRDefault="00B24F26" w:rsidP="00B24F2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nl-NL"/>
        </w:rPr>
      </w:pP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Bij problemen, vragen of twijfel over nut, noodzaak, bijwerkingen etc. vindt overleg plaats met de 2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de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>lijn, of terugverwijzing naar de 2</w:t>
      </w:r>
      <w:r w:rsidRPr="00B24F26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de </w:t>
      </w:r>
      <w:r w:rsidRPr="00B24F26">
        <w:rPr>
          <w:rFonts w:ascii="Calibri" w:eastAsia="Times New Roman" w:hAnsi="Calibri" w:cs="Calibri"/>
          <w:sz w:val="22"/>
          <w:szCs w:val="22"/>
          <w:lang w:eastAsia="nl-NL"/>
        </w:rPr>
        <w:t xml:space="preserve">lijn. </w:t>
      </w:r>
    </w:p>
    <w:p w14:paraId="3BB2E595" w14:textId="205A734B" w:rsidR="00B24F26" w:rsidRDefault="00B24F26" w:rsidP="00491CCC">
      <w:pPr>
        <w:numPr>
          <w:ilvl w:val="0"/>
          <w:numId w:val="1"/>
        </w:numPr>
        <w:spacing w:before="100" w:beforeAutospacing="1" w:after="100" w:afterAutospacing="1"/>
      </w:pPr>
      <w:bookmarkStart w:id="0" w:name="_Hlk124425304"/>
      <w:r w:rsidRPr="00D77AAC">
        <w:rPr>
          <w:rFonts w:ascii="Calibri" w:eastAsia="Times New Roman" w:hAnsi="Calibri" w:cs="Calibri"/>
          <w:sz w:val="22"/>
          <w:szCs w:val="22"/>
          <w:lang w:eastAsia="nl-NL"/>
        </w:rPr>
        <w:t>Om de uitwerking van dit beleid te evalueren zullen alle naar de 1</w:t>
      </w:r>
      <w:r w:rsidRPr="00D77AAC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ste </w:t>
      </w:r>
      <w:r w:rsidRPr="00D77AAC">
        <w:rPr>
          <w:rFonts w:ascii="Calibri" w:eastAsia="Times New Roman" w:hAnsi="Calibri" w:cs="Calibri"/>
          <w:sz w:val="22"/>
          <w:szCs w:val="22"/>
          <w:lang w:eastAsia="nl-NL"/>
        </w:rPr>
        <w:t>lijn terugverwezen patiënten worden geregistreerd in de 2</w:t>
      </w:r>
      <w:r w:rsidRPr="00D77AAC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de </w:t>
      </w:r>
      <w:r w:rsidRPr="00D77AAC">
        <w:rPr>
          <w:rFonts w:ascii="Calibri" w:eastAsia="Times New Roman" w:hAnsi="Calibri" w:cs="Calibri"/>
          <w:sz w:val="22"/>
          <w:szCs w:val="22"/>
          <w:lang w:eastAsia="nl-NL"/>
        </w:rPr>
        <w:t>lijn. Een jaar na aanvang van bovengenoemd beleid wordt onderzocht of prescriptie is gecontinueerd. Daarnaast zullen ervaringen in 1</w:t>
      </w:r>
      <w:r w:rsidRPr="00D77AAC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ste </w:t>
      </w:r>
      <w:r w:rsidRPr="00D77AAC">
        <w:rPr>
          <w:rFonts w:ascii="Calibri" w:eastAsia="Times New Roman" w:hAnsi="Calibri" w:cs="Calibri"/>
          <w:sz w:val="22"/>
          <w:szCs w:val="22"/>
          <w:lang w:eastAsia="nl-NL"/>
        </w:rPr>
        <w:t>en 2</w:t>
      </w:r>
      <w:r w:rsidRPr="00D77AAC">
        <w:rPr>
          <w:rFonts w:ascii="Calibri" w:eastAsia="Times New Roman" w:hAnsi="Calibri" w:cs="Calibri"/>
          <w:position w:val="8"/>
          <w:sz w:val="14"/>
          <w:szCs w:val="14"/>
          <w:lang w:eastAsia="nl-NL"/>
        </w:rPr>
        <w:t xml:space="preserve">de </w:t>
      </w:r>
      <w:r w:rsidRPr="00D77AAC">
        <w:rPr>
          <w:rFonts w:ascii="Calibri" w:eastAsia="Times New Roman" w:hAnsi="Calibri" w:cs="Calibri"/>
          <w:sz w:val="22"/>
          <w:szCs w:val="22"/>
          <w:lang w:eastAsia="nl-NL"/>
        </w:rPr>
        <w:t>lijn worden verzameld. Hiervan vindt terugkoppeling en evaluatie plaats in regulier transmuraal HONK</w:t>
      </w:r>
      <w:r w:rsidR="001A0B7A" w:rsidRPr="00D77AAC">
        <w:rPr>
          <w:rFonts w:ascii="Calibri" w:eastAsia="Times New Roman" w:hAnsi="Calibri" w:cs="Calibri"/>
          <w:sz w:val="22"/>
          <w:szCs w:val="22"/>
          <w:lang w:eastAsia="nl-NL"/>
        </w:rPr>
        <w:t>, HKN en</w:t>
      </w:r>
      <w:r w:rsidRPr="00D77AAC">
        <w:rPr>
          <w:rFonts w:ascii="Calibri" w:eastAsia="Times New Roman" w:hAnsi="Calibri" w:cs="Calibri"/>
          <w:sz w:val="22"/>
          <w:szCs w:val="22"/>
          <w:lang w:eastAsia="nl-NL"/>
        </w:rPr>
        <w:t xml:space="preserve"> Noordwest overleg. HONK</w:t>
      </w:r>
      <w:r w:rsidR="001A0B7A" w:rsidRPr="00D77AAC">
        <w:rPr>
          <w:rFonts w:ascii="Calibri" w:eastAsia="Times New Roman" w:hAnsi="Calibri" w:cs="Calibri"/>
          <w:sz w:val="22"/>
          <w:szCs w:val="22"/>
          <w:lang w:eastAsia="nl-NL"/>
        </w:rPr>
        <w:t xml:space="preserve"> en HKN</w:t>
      </w:r>
      <w:r w:rsidRPr="00D77AAC">
        <w:rPr>
          <w:rFonts w:ascii="Calibri" w:eastAsia="Times New Roman" w:hAnsi="Calibri" w:cs="Calibri"/>
          <w:sz w:val="22"/>
          <w:szCs w:val="22"/>
          <w:lang w:eastAsia="nl-NL"/>
        </w:rPr>
        <w:t xml:space="preserve"> evaluer</w:t>
      </w:r>
      <w:r w:rsidR="001A0B7A" w:rsidRPr="00D77AAC">
        <w:rPr>
          <w:rFonts w:ascii="Calibri" w:eastAsia="Times New Roman" w:hAnsi="Calibri" w:cs="Calibri"/>
          <w:sz w:val="22"/>
          <w:szCs w:val="22"/>
          <w:lang w:eastAsia="nl-NL"/>
        </w:rPr>
        <w:t>en</w:t>
      </w:r>
      <w:r w:rsidRPr="00D77AAC">
        <w:rPr>
          <w:rFonts w:ascii="Calibri" w:eastAsia="Times New Roman" w:hAnsi="Calibri" w:cs="Calibri"/>
          <w:sz w:val="22"/>
          <w:szCs w:val="22"/>
          <w:lang w:eastAsia="nl-NL"/>
        </w:rPr>
        <w:t xml:space="preserve"> de verlenging en verstrekking met de Apcon. </w:t>
      </w:r>
      <w:bookmarkEnd w:id="0"/>
    </w:p>
    <w:sectPr w:rsidR="00B24F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B78E" w14:textId="77777777" w:rsidR="00B24F26" w:rsidRDefault="00B24F26" w:rsidP="00B24F26">
      <w:r>
        <w:separator/>
      </w:r>
    </w:p>
  </w:endnote>
  <w:endnote w:type="continuationSeparator" w:id="0">
    <w:p w14:paraId="41543B7B" w14:textId="77777777" w:rsidR="00B24F26" w:rsidRDefault="00B24F26" w:rsidP="00B2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7827" w14:textId="4E2D8A09" w:rsidR="00B24F26" w:rsidRPr="00B24F26" w:rsidRDefault="00B24F26" w:rsidP="00B24F26">
    <w:pPr>
      <w:spacing w:before="100" w:beforeAutospacing="1" w:after="100" w:afterAutospacing="1"/>
      <w:rPr>
        <w:rFonts w:ascii="Times New Roman" w:eastAsia="Times New Roman" w:hAnsi="Times New Roman" w:cs="Times New Roman"/>
        <w:sz w:val="18"/>
        <w:szCs w:val="18"/>
        <w:lang w:eastAsia="nl-NL"/>
      </w:rPr>
    </w:pPr>
    <w:r w:rsidRPr="00B24F26">
      <w:rPr>
        <w:rFonts w:ascii="Calibri" w:eastAsia="Times New Roman" w:hAnsi="Calibri" w:cs="Calibri"/>
        <w:sz w:val="18"/>
        <w:szCs w:val="18"/>
        <w:lang w:eastAsia="nl-NL"/>
      </w:rPr>
      <w:t xml:space="preserve">Regionale afspraak PCSK9 remmers </w:t>
    </w:r>
    <w:r w:rsidR="00845622">
      <w:rPr>
        <w:rFonts w:ascii="Calibri" w:eastAsia="Times New Roman" w:hAnsi="Calibri" w:cs="Calibri"/>
        <w:sz w:val="18"/>
        <w:szCs w:val="18"/>
        <w:lang w:eastAsia="nl-NL"/>
      </w:rPr>
      <w:t xml:space="preserve">januari </w:t>
    </w:r>
    <w:r w:rsidRPr="00B24F26">
      <w:rPr>
        <w:rFonts w:ascii="Calibri" w:eastAsia="Times New Roman" w:hAnsi="Calibri" w:cs="Calibri"/>
        <w:sz w:val="18"/>
        <w:szCs w:val="18"/>
        <w:lang w:eastAsia="nl-NL"/>
      </w:rPr>
      <w:t>202</w:t>
    </w:r>
    <w:r w:rsidR="00845622">
      <w:rPr>
        <w:rFonts w:ascii="Calibri" w:eastAsia="Times New Roman" w:hAnsi="Calibri" w:cs="Calibri"/>
        <w:sz w:val="18"/>
        <w:szCs w:val="18"/>
        <w:lang w:eastAsia="nl-NL"/>
      </w:rPr>
      <w:t>3</w:t>
    </w:r>
    <w:r w:rsidRPr="00B24F26">
      <w:rPr>
        <w:rFonts w:ascii="Calibri" w:eastAsia="Times New Roman" w:hAnsi="Calibri" w:cs="Calibri"/>
        <w:sz w:val="18"/>
        <w:szCs w:val="18"/>
        <w:lang w:eastAsia="nl-NL"/>
      </w:rPr>
      <w:t xml:space="preserve"> Noordwest/</w:t>
    </w:r>
    <w:r w:rsidRPr="00D77AAC">
      <w:rPr>
        <w:rFonts w:ascii="Calibri" w:eastAsia="Times New Roman" w:hAnsi="Calibri" w:cs="Calibri"/>
        <w:sz w:val="18"/>
        <w:szCs w:val="18"/>
        <w:lang w:eastAsia="nl-NL"/>
      </w:rPr>
      <w:t>HONK/</w:t>
    </w:r>
    <w:r w:rsidR="001A0B7A" w:rsidRPr="00D77AAC">
      <w:rPr>
        <w:rFonts w:ascii="Calibri" w:eastAsia="Times New Roman" w:hAnsi="Calibri" w:cs="Calibri"/>
        <w:sz w:val="18"/>
        <w:szCs w:val="18"/>
        <w:lang w:eastAsia="nl-NL"/>
      </w:rPr>
      <w:t>HKN/</w:t>
    </w:r>
    <w:proofErr w:type="spellStart"/>
    <w:r w:rsidRPr="00D77AAC">
      <w:rPr>
        <w:rFonts w:ascii="Calibri" w:eastAsia="Times New Roman" w:hAnsi="Calibri" w:cs="Calibri"/>
        <w:sz w:val="18"/>
        <w:szCs w:val="18"/>
        <w:lang w:eastAsia="nl-NL"/>
      </w:rPr>
      <w:t>Apcon</w:t>
    </w:r>
    <w:proofErr w:type="spellEnd"/>
    <w:r w:rsidRPr="00D77AAC">
      <w:rPr>
        <w:rFonts w:ascii="Calibri" w:eastAsia="Times New Roman" w:hAnsi="Calibri" w:cs="Calibri"/>
        <w:sz w:val="18"/>
        <w:szCs w:val="18"/>
        <w:lang w:eastAsia="nl-NL"/>
      </w:rPr>
      <w:t xml:space="preserve"> </w:t>
    </w:r>
  </w:p>
  <w:p w14:paraId="19E77A53" w14:textId="77777777" w:rsidR="00B24F26" w:rsidRDefault="00B24F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1DB5" w14:textId="77777777" w:rsidR="00B24F26" w:rsidRDefault="00B24F26" w:rsidP="00B24F26">
      <w:r>
        <w:separator/>
      </w:r>
    </w:p>
  </w:footnote>
  <w:footnote w:type="continuationSeparator" w:id="0">
    <w:p w14:paraId="51126264" w14:textId="77777777" w:rsidR="00B24F26" w:rsidRDefault="00B24F26" w:rsidP="00B2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2F49" w14:textId="2C846ECB" w:rsidR="00B06CF4" w:rsidRDefault="00B06CF4" w:rsidP="00B81F53">
    <w:pPr>
      <w:pStyle w:val="Koptekst"/>
      <w:tabs>
        <w:tab w:val="clear" w:pos="4536"/>
        <w:tab w:val="clear" w:pos="9072"/>
        <w:tab w:val="left" w:pos="3700"/>
      </w:tabs>
    </w:pPr>
    <w:r>
      <w:t> </w:t>
    </w:r>
    <w:r w:rsidR="00B81F53">
      <w:t> </w:t>
    </w:r>
    <w:r w:rsidR="00B81F53">
      <w:rPr>
        <w:noProof/>
      </w:rPr>
      <w:drawing>
        <wp:inline distT="0" distB="0" distL="0" distR="0" wp14:anchorId="72B1B013" wp14:editId="67AF8554">
          <wp:extent cx="1063683" cy="488950"/>
          <wp:effectExtent l="0" t="0" r="3175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31" cy="494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F53">
      <w:t> </w:t>
    </w:r>
    <w:r w:rsidR="00C85DB8">
      <w:rPr>
        <w:noProof/>
      </w:rPr>
      <w:drawing>
        <wp:inline distT="0" distB="0" distL="0" distR="0" wp14:anchorId="5293A762" wp14:editId="459DD133">
          <wp:extent cx="1168400" cy="59214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79" cy="59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F53">
      <w:tab/>
    </w:r>
    <w:r w:rsidR="00B81F53">
      <w:t>   </w:t>
    </w:r>
    <w:r w:rsidR="00C85DB8" w:rsidRPr="00C85DB8">
      <w:drawing>
        <wp:inline distT="0" distB="0" distL="0" distR="0" wp14:anchorId="3BF463F6" wp14:editId="3184A5B8">
          <wp:extent cx="1738931" cy="375920"/>
          <wp:effectExtent l="0" t="0" r="0" b="508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7048" cy="39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5ABF" w:rsidRPr="00B55ABF">
      <w:drawing>
        <wp:inline distT="0" distB="0" distL="0" distR="0" wp14:anchorId="6F9B2388" wp14:editId="590DC987">
          <wp:extent cx="1133475" cy="572371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7274" cy="57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0A4"/>
    <w:multiLevelType w:val="multilevel"/>
    <w:tmpl w:val="9CCA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38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26"/>
    <w:rsid w:val="00046899"/>
    <w:rsid w:val="001A0B7A"/>
    <w:rsid w:val="001D0320"/>
    <w:rsid w:val="002C4870"/>
    <w:rsid w:val="002D19B0"/>
    <w:rsid w:val="00394E52"/>
    <w:rsid w:val="003C2F50"/>
    <w:rsid w:val="00845622"/>
    <w:rsid w:val="00B06CF4"/>
    <w:rsid w:val="00B24F26"/>
    <w:rsid w:val="00B55ABF"/>
    <w:rsid w:val="00B81F53"/>
    <w:rsid w:val="00C85DB8"/>
    <w:rsid w:val="00D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2EA44B"/>
  <w15:chartTrackingRefBased/>
  <w15:docId w15:val="{67F0D34E-F906-9A4B-8029-51E9F82B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24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24F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4F26"/>
  </w:style>
  <w:style w:type="paragraph" w:styleId="Voettekst">
    <w:name w:val="footer"/>
    <w:basedOn w:val="Standaard"/>
    <w:link w:val="VoettekstChar"/>
    <w:uiPriority w:val="99"/>
    <w:unhideWhenUsed/>
    <w:rsid w:val="00B24F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ece961-4176-4181-8f04-53a9df419c8a">
      <Terms xmlns="http://schemas.microsoft.com/office/infopath/2007/PartnerControls"/>
    </lcf76f155ced4ddcb4097134ff3c332f>
    <TaxCatchAll xmlns="1ec95e18-3305-4fc6-b8f6-d163437e18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B1C3627365B46B90559CD9D859255" ma:contentTypeVersion="13" ma:contentTypeDescription="Een nieuw document maken." ma:contentTypeScope="" ma:versionID="5403330e573c4545a214dbc9ffa38001">
  <xsd:schema xmlns:xsd="http://www.w3.org/2001/XMLSchema" xmlns:xs="http://www.w3.org/2001/XMLSchema" xmlns:p="http://schemas.microsoft.com/office/2006/metadata/properties" xmlns:ns2="96ece961-4176-4181-8f04-53a9df419c8a" xmlns:ns3="1ec95e18-3305-4fc6-b8f6-d163437e1803" targetNamespace="http://schemas.microsoft.com/office/2006/metadata/properties" ma:root="true" ma:fieldsID="d3737474807470f1d4d0951ef455d678" ns2:_="" ns3:_="">
    <xsd:import namespace="96ece961-4176-4181-8f04-53a9df419c8a"/>
    <xsd:import namespace="1ec95e18-3305-4fc6-b8f6-d163437e1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e961-4176-4181-8f04-53a9df419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807a1a25-601e-4b3c-a374-5a411da0c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95e18-3305-4fc6-b8f6-d163437e1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702c6bb-a4ac-4853-b0f6-5d3f91494f2e}" ma:internalName="TaxCatchAll" ma:showField="CatchAllData" ma:web="1ec95e18-3305-4fc6-b8f6-d163437e1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4D085-8585-47A8-B73A-E75FD4B559AB}">
  <ds:schemaRefs>
    <ds:schemaRef ds:uri="http://schemas.microsoft.com/office/2006/metadata/properties"/>
    <ds:schemaRef ds:uri="http://schemas.microsoft.com/office/infopath/2007/PartnerControls"/>
    <ds:schemaRef ds:uri="96ece961-4176-4181-8f04-53a9df419c8a"/>
    <ds:schemaRef ds:uri="1ec95e18-3305-4fc6-b8f6-d163437e1803"/>
  </ds:schemaRefs>
</ds:datastoreItem>
</file>

<file path=customXml/itemProps2.xml><?xml version="1.0" encoding="utf-8"?>
<ds:datastoreItem xmlns:ds="http://schemas.openxmlformats.org/officeDocument/2006/customXml" ds:itemID="{E644A74C-CB3C-4B83-B836-2FB4F618A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ce961-4176-4181-8f04-53a9df419c8a"/>
    <ds:schemaRef ds:uri="1ec95e18-3305-4fc6-b8f6-d163437e1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E01CE-AD1D-40D6-A764-F15C113B9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de Jong</dc:creator>
  <cp:keywords/>
  <dc:description/>
  <cp:lastModifiedBy>Lotti van Ruth</cp:lastModifiedBy>
  <cp:revision>13</cp:revision>
  <dcterms:created xsi:type="dcterms:W3CDTF">2023-01-12T13:17:00Z</dcterms:created>
  <dcterms:modified xsi:type="dcterms:W3CDTF">2023-01-31T13:09:00Z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0x010100244B1C3627365B46B90559CD9D859255</vt:lpwstr>
  </property>
</Properties>
</file>